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0B893">
      <w:pPr>
        <w:adjustRightInd w:val="0"/>
        <w:snapToGrid w:val="0"/>
        <w:spacing w:line="360" w:lineRule="auto"/>
        <w:rPr>
          <w:rFonts w:hint="default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 xml:space="preserve">4 </w:t>
      </w:r>
      <w:bookmarkStart w:id="0" w:name="_GoBack"/>
      <w:r>
        <w:rPr>
          <w:rFonts w:hint="default" w:ascii="黑体" w:hAnsi="黑体" w:eastAsia="黑体" w:cs="黑体"/>
          <w:bCs/>
          <w:sz w:val="28"/>
          <w:szCs w:val="28"/>
        </w:rPr>
        <w:t>总结与展望</w:t>
      </w:r>
      <w:bookmarkEnd w:id="0"/>
    </w:p>
    <w:p w14:paraId="1B880E86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文旅赋能城市更新，是中小城市在城镇化进程中突破同质化困境、实现特色化与可持续发展的关键路径。它并非简单的旅游开发，而是一场以文化为内核、以人为中心的系统性社会变革。通过产业融合，激活了传统业态，培育了新的经济增长点；通过空间融合，重塑了城市风貌，使文化遗产与闲置资产焕发新生；通过社群融合，激发了居民的主体意识，构建了共建共治共享的社会治理新格局；通过功能融合，提升了城市的宜居性与宜游性，实现了主客共享的美好生活图景。</w:t>
      </w:r>
    </w:p>
    <w:p w14:paraId="4305DC21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展望未来，中小城市的更新绝非一蹴而就的“大拆大建”，而应是一个渐进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default" w:ascii="宋体" w:hAnsi="宋体" w:eastAsia="宋体" w:cs="宋体"/>
          <w:sz w:val="24"/>
        </w:rPr>
        <w:t>有机的疗愈与生长过程。面对新一轮发展机遇，中小城市更需坚定文化自信，摒弃盲目模仿的路径依赖。其核心竞争力蕴藏于独特的地域文化、淳朴的市井风情与温暖的人际联结之中。唯有深入挖掘自身的“小城故事”，用当代语言诠释传统价值，让文化力量渗透进城市的每一寸肌理，才能在高质量发展的时代浪潮中，真正打造出“望得见山、看得见水、记得住乡愁”的、具有持久生命与魅力的诗意栖居之地。</w:t>
      </w:r>
    </w:p>
    <w:p w14:paraId="56917B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F3F86"/>
    <w:rsid w:val="405F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2026-01-22T06:55:00Z</dcterms:created>
  <dc:creator>狼</dc:creator>
  <cp:lastModifiedBy>狼</cp:lastModifiedBy>
  <dcterms:modified xsi:type="dcterms:W3CDTF">2026-01-22T06:57:47Z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8224C5A0BD79442E82577EAF1900B21F_11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