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85FCCA">
      <w:pPr>
        <w:adjustRightInd w:val="0"/>
        <w:snapToGrid w:val="0"/>
        <w:spacing w:line="360" w:lineRule="auto"/>
        <w:rPr>
          <w:rFonts w:hint="eastAsia" w:ascii="黑体" w:hAnsi="黑体" w:eastAsia="黑体" w:cs="黑体"/>
          <w:bCs/>
          <w:sz w:val="28"/>
          <w:szCs w:val="28"/>
          <w:lang w:eastAsia="zh-CN"/>
        </w:rPr>
      </w:pPr>
      <w:r>
        <w:rPr>
          <w:rFonts w:hint="eastAsia" w:ascii="黑体" w:hAnsi="黑体" w:eastAsia="黑体" w:cs="黑体"/>
          <w:bCs/>
          <w:sz w:val="28"/>
          <w:szCs w:val="28"/>
          <w:lang w:val="en-US" w:eastAsia="zh-CN"/>
        </w:rPr>
        <w:t xml:space="preserve">3 </w:t>
      </w:r>
      <w:r>
        <w:rPr>
          <w:rFonts w:hint="eastAsia" w:ascii="黑体" w:hAnsi="黑体" w:eastAsia="黑体" w:cs="黑体"/>
          <w:bCs/>
          <w:sz w:val="28"/>
          <w:szCs w:val="28"/>
          <w:lang w:eastAsia="zh-CN"/>
        </w:rPr>
        <w:t>文旅赋能中小城市更新的政策与机制</w:t>
      </w:r>
    </w:p>
    <w:p w14:paraId="250815D0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文旅赋能城市更新是一项系统系、可持续性、科学性和普惠性工程，</w:t>
      </w:r>
      <w:r>
        <w:rPr>
          <w:rFonts w:hint="default" w:ascii="宋体" w:hAnsi="宋体" w:eastAsia="宋体" w:cs="宋体"/>
          <w:sz w:val="24"/>
        </w:rPr>
        <w:t>必须构建一套兼具前瞻性与可操作性的政策与机制保障体系。</w:t>
      </w:r>
    </w:p>
    <w:p w14:paraId="7C4311E3">
      <w:pPr>
        <w:adjustRightInd w:val="0"/>
        <w:snapToGrid w:val="0"/>
        <w:spacing w:line="360" w:lineRule="auto"/>
        <w:rPr>
          <w:rFonts w:hint="default" w:ascii="宋体" w:hAnsi="宋体" w:eastAsia="宋体" w:cs="宋体"/>
          <w:b/>
          <w:sz w:val="24"/>
        </w:rPr>
      </w:pPr>
      <w:bookmarkStart w:id="0" w:name="_GoBack"/>
      <w:r>
        <w:rPr>
          <w:rFonts w:hint="eastAsia" w:ascii="宋体" w:hAnsi="宋体" w:eastAsia="宋体" w:cs="宋体"/>
          <w:b/>
          <w:sz w:val="24"/>
          <w:lang w:val="en-US" w:eastAsia="zh-CN"/>
        </w:rPr>
        <w:t>3.1</w:t>
      </w:r>
      <w:r>
        <w:rPr>
          <w:rFonts w:hint="default" w:ascii="宋体" w:hAnsi="宋体" w:eastAsia="宋体" w:cs="宋体"/>
          <w:b/>
          <w:sz w:val="24"/>
        </w:rPr>
        <w:t>强化顶层规划引领，确保文化定力与实施效能</w:t>
      </w:r>
    </w:p>
    <w:bookmarkEnd w:id="0"/>
    <w:p w14:paraId="170AF086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</w:rPr>
      </w:pPr>
      <w:r>
        <w:rPr>
          <w:rFonts w:hint="default" w:ascii="宋体" w:hAnsi="宋体" w:eastAsia="宋体" w:cs="宋体"/>
          <w:sz w:val="24"/>
        </w:rPr>
        <w:t>中小城市更新应摒弃“碎片化”改造模式，转向整体性、战略性的规划引领。首要任务是由市级政府主导，联合自然资源、住建、文旅等部门，共同编制</w:t>
      </w:r>
      <w:r>
        <w:rPr>
          <w:rFonts w:hint="eastAsia" w:ascii="宋体" w:hAnsi="宋体" w:eastAsia="宋体" w:cs="宋体"/>
          <w:sz w:val="24"/>
          <w:lang w:eastAsia="zh-CN"/>
        </w:rPr>
        <w:t>切实可行的</w:t>
      </w:r>
      <w:r>
        <w:rPr>
          <w:rFonts w:hint="default" w:ascii="宋体" w:hAnsi="宋体" w:eastAsia="宋体" w:cs="宋体"/>
          <w:sz w:val="24"/>
        </w:rPr>
        <w:t>《城市更新专项规划》。该规划须明确更新区域的整体文化定位、风貌管控要求、核心业态导向及分期实施重点，划定文化保护红线与发展空间，防止“建设性破坏”与同质化开发。</w:t>
      </w:r>
    </w:p>
    <w:p w14:paraId="17151F1F">
      <w:pPr>
        <w:adjustRightInd w:val="0"/>
        <w:snapToGrid w:val="0"/>
        <w:spacing w:line="360" w:lineRule="auto"/>
        <w:ind w:firstLine="480" w:firstLineChars="200"/>
        <w:rPr>
          <w:rFonts w:hint="default" w:ascii="宋体" w:hAnsi="宋体" w:eastAsia="宋体" w:cs="宋体"/>
          <w:sz w:val="24"/>
        </w:rPr>
      </w:pPr>
      <w:r>
        <w:rPr>
          <w:rFonts w:hint="eastAsia" w:ascii="宋体" w:hAnsi="宋体" w:eastAsia="宋体" w:cs="宋体"/>
          <w:sz w:val="24"/>
          <w:lang w:eastAsia="zh-CN"/>
        </w:rPr>
        <w:t>其次</w:t>
      </w:r>
      <w:r>
        <w:rPr>
          <w:rFonts w:hint="default" w:ascii="宋体" w:hAnsi="宋体" w:eastAsia="宋体" w:cs="宋体"/>
          <w:sz w:val="24"/>
        </w:rPr>
        <w:t>规划实施</w:t>
      </w:r>
      <w:r>
        <w:rPr>
          <w:rFonts w:hint="eastAsia" w:ascii="宋体" w:hAnsi="宋体" w:eastAsia="宋体" w:cs="宋体"/>
          <w:sz w:val="24"/>
          <w:lang w:eastAsia="zh-CN"/>
        </w:rPr>
        <w:t>前</w:t>
      </w:r>
      <w:r>
        <w:rPr>
          <w:rFonts w:hint="default" w:ascii="宋体" w:hAnsi="宋体" w:eastAsia="宋体" w:cs="宋体"/>
          <w:sz w:val="24"/>
        </w:rPr>
        <w:t>必须引入“文化先导”理念，建立“社区规划师”或“首席设计师”制度。通过聘请具有文化洞察力与社会责任感的专业团队全程参与，对城市色彩、建筑风貌、公共艺术等进行系统性设计与把控，确保更新项目在提升功能的同时，能够精准传承与创新本地文化特色，避免在商业化浪潮中迷失自我。此举旨在从源头上保障更新的文化调性与美学品质，实现“一城一策，千城千面”。</w:t>
      </w:r>
    </w:p>
    <w:p w14:paraId="2EA769E5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0D70FB5"/>
    <w:rsid w:val="60D70F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Office_12.1.0.22215_F1E327BC-269C-435d-A152-05C5408002CA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2026-01-22T06:47:00Z</dcterms:created>
  <dc:creator>狼</dc:creator>
  <cp:lastModifiedBy>狼</cp:lastModifiedBy>
  <dcterms:modified xsi:type="dcterms:W3CDTF">2026-01-22T06:48:30Z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2052-12.1.0.22215</vt:lpwstr>
  </property>
  <property fmtid="{D5CDD505-2E9C-101B-9397-08002B2CF9AE}" pid="3" name="ICV">
    <vt:lpwstr>59EAC136EE714374B37819C4CAFED0B7_11</vt:lpwstr>
  </property>
  <property fmtid="{D5CDD505-2E9C-101B-9397-08002B2CF9AE}" pid="4" name="KSOTemplateDocerSaveRecord">
    <vt:lpwstr>eyJoZGlkIjoiYzk4ODIzYThiZjRmMjNmZGZhYTkwYTA4MGE3MDNkOTYiLCJ1c2VySWQiOiI2MzA5ODYxNTQifQ==</vt:lpwstr>
  </property>
</Properties>
</file>