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val="0"/>
          <w:bCs/>
        </w:rPr>
      </w:pPr>
      <w:bookmarkStart w:id="1" w:name="_GoBack"/>
      <w:bookmarkStart w:id="0" w:name="_Toc4556"/>
      <w:r>
        <w:rPr>
          <w:b w:val="0"/>
          <w:bCs/>
        </w:rPr>
        <w:t>自贸区油品全产业链要如何打造 听听浙能董事长怎么说</w:t>
      </w:r>
      <w:bookmarkEnd w:id="1"/>
      <w:bookmarkEnd w:id="0"/>
    </w:p>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在浙江省政府主办的首届世界油商大会“一带一路”倡议下全球油品贸易新趋势平行论坛上，浙江省能源集团有限公司董事长童亚辉作“中国机遇，浙江篇章”的主旨演讲时如是说。</w:t>
      </w:r>
    </w:p>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舟山打造油品全产业链的前景是广阔的，通过“三基地、一中心”的建设，计划到2020年实现燃料保税油500万吨和远期2000万吨的目标，4000万吨油品存储能力、成为我国最大的油品仓储基地，形成年炼油4000万吨、对二甲苯800万吨、乙烯280万吨生产能力，油品年贸易总额突破3000亿元人民币，大宗商品交易额达到5万亿元人民币，原油、成品油、保税燃料油、液化天然气等现货交易规模突破一万亿元人民币。有理由相信，在不远的将来，舟山会成为全球油品自由贸易港和有竞争力、有影响力的能源大宗商品交易中心。</w:t>
      </w:r>
    </w:p>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童亚辉说，为了加速推进实现国家战略的实施，浙江省委、省政府以浙能集团和浙江石化公司作为主平台，组建浙江省石油股份有限公司为主抓手，主导推动自贸区油品全产业链和能源大宗商品国际交易中心建设，谱写浙江能源产业改革发展、转型升级的新篇章。浙能集团以进军石油产业为契机，全力打造集电力、煤炭、天然气、石油和能源服务一体化的能源全产业链，成就综合能源供应商。</w:t>
      </w:r>
    </w:p>
    <w:p>
      <w:pPr>
        <w:widowControl/>
        <w:shd w:val="clear" w:color="auto" w:fill="FFFFFF"/>
        <w:spacing w:line="500" w:lineRule="exact"/>
        <w:ind w:firstLine="560" w:firstLineChars="200"/>
        <w:jc w:val="lef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童亚辉描绘了浙能刚刚控股组建的浙江省石油股份有限公司发展的宏伟蓝图：浙能集团计划在五年内，投资600亿元人民币，构建1000万吨的原油储备设施、1500万方能力的成品油储存中转设施、1000公里的油品运输管道、100万吨能力的燃油加注设施、以及700座分布式综合供能站；通过参与自贸区大宗商品交易中心建设，推动石油、煤炭、天然气等能源大宗商品的交易，争取到2030年，形成能够反映亚太能源经济运行态势，引导社会投资行为和企业生产经营活动的能源价格“浙江（舟山）指数”；还将大力发展能源特色金融，积极推动创办浙江海洋银行、能源保险公司，继续推进绿色能源产业基金发展，为自贸区和浙江省新的能源供应模式、组织形式、销售体系、大宗交易提供优质的金融配套服务，为人民币国际化作出积极贡献。</w:t>
      </w:r>
    </w:p>
    <w:p>
      <w:pPr>
        <w:widowControl/>
        <w:shd w:val="clear" w:color="auto" w:fill="FFFFFF"/>
        <w:spacing w:line="500" w:lineRule="exact"/>
        <w:ind w:firstLine="3920" w:firstLineChars="1400"/>
        <w:jc w:val="righ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来源：浙江新闻2017-9-18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D0360"/>
    <w:rsid w:val="12AD03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spacing w:before="100" w:beforeAutospacing="1" w:after="100" w:afterAutospacing="1"/>
      <w:jc w:val="center"/>
      <w:outlineLvl w:val="1"/>
    </w:pPr>
    <w:rPr>
      <w:rFonts w:hint="eastAsia" w:ascii="宋体" w:hAnsi="宋体" w:eastAsia="仿宋" w:cs="宋体"/>
      <w:kern w:val="0"/>
      <w:sz w:val="32"/>
      <w:szCs w:val="36"/>
      <w:lang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2019-02-14T00:57:00Z</dcterms:created>
  <dc:creator>Comp_Aw</dc:creator>
  <cp:lastModifiedBy>Comp_Aw</cp:lastModifiedBy>
  <dcterms:modified xsi:type="dcterms:W3CDTF">2019-02-14T00:58:11Z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